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56" w:rsidRPr="00E05BA5" w:rsidRDefault="00BB2556" w:rsidP="00E05BA5">
      <w:pPr>
        <w:pStyle w:val="Heading1"/>
        <w:numPr>
          <w:ilvl w:val="0"/>
          <w:numId w:val="0"/>
        </w:numPr>
        <w:spacing w:before="0"/>
        <w:ind w:left="580"/>
        <w:jc w:val="center"/>
        <w:rPr>
          <w:rFonts w:asciiTheme="minorHAnsi" w:hAnsiTheme="minorHAnsi" w:cstheme="minorHAnsi"/>
          <w:color w:val="auto"/>
        </w:rPr>
      </w:pPr>
      <w:r w:rsidRPr="00E05BA5">
        <w:rPr>
          <w:rFonts w:asciiTheme="minorHAnsi" w:hAnsiTheme="minorHAnsi" w:cstheme="minorHAnsi"/>
          <w:color w:val="auto"/>
        </w:rPr>
        <w:t>Overview of General 2ww referral management</w:t>
      </w:r>
    </w:p>
    <w:p w:rsidR="00BB2556" w:rsidRPr="00E05BA5" w:rsidRDefault="00BB2556" w:rsidP="00E05BA5">
      <w:pPr>
        <w:pStyle w:val="Heading1"/>
        <w:numPr>
          <w:ilvl w:val="0"/>
          <w:numId w:val="0"/>
        </w:numPr>
        <w:spacing w:before="0"/>
        <w:ind w:left="580"/>
        <w:jc w:val="center"/>
        <w:rPr>
          <w:rFonts w:asciiTheme="minorHAnsi" w:hAnsiTheme="minorHAnsi" w:cstheme="minorHAnsi"/>
          <w:color w:val="auto"/>
        </w:rPr>
      </w:pPr>
      <w:r w:rsidRPr="00E05BA5">
        <w:rPr>
          <w:rFonts w:asciiTheme="minorHAnsi" w:hAnsiTheme="minorHAnsi" w:cstheme="minorHAnsi"/>
          <w:color w:val="auto"/>
        </w:rPr>
        <w:t>Draft document 26/03/20 15:40</w:t>
      </w:r>
    </w:p>
    <w:p w:rsidR="00431A10" w:rsidRDefault="00431A10" w:rsidP="00BB2556"/>
    <w:p w:rsidR="00431A10" w:rsidRPr="00E05BA5" w:rsidRDefault="00431A10" w:rsidP="00BB2556">
      <w:r w:rsidRPr="00E05BA5">
        <w:t>This</w:t>
      </w:r>
      <w:r w:rsidR="00E05BA5" w:rsidRPr="00E05BA5">
        <w:t xml:space="preserve"> paper relates to adult patients only.  Children, teenage and young adult cancers should be managed in accordance with normal protocol.</w:t>
      </w:r>
    </w:p>
    <w:p w:rsidR="00BB2556" w:rsidRPr="00E05BA5" w:rsidRDefault="00BB2556" w:rsidP="00BB2556">
      <w:pPr>
        <w:autoSpaceDE w:val="0"/>
        <w:autoSpaceDN w:val="0"/>
        <w:adjustRightInd w:val="0"/>
        <w:rPr>
          <w:rFonts w:ascii="Arial" w:hAnsi="Arial" w:cs="Arial"/>
          <w:color w:val="000000"/>
        </w:rPr>
      </w:pPr>
    </w:p>
    <w:p w:rsidR="00BB2556" w:rsidRPr="00E05BA5" w:rsidRDefault="00BB2556" w:rsidP="00E05BA5">
      <w:pPr>
        <w:rPr>
          <w:b/>
        </w:rPr>
      </w:pPr>
      <w:r w:rsidRPr="00E05BA5">
        <w:rPr>
          <w:b/>
        </w:rPr>
        <w:t>Initial management of 2ww referrals</w:t>
      </w:r>
    </w:p>
    <w:p w:rsidR="00E05BA5" w:rsidRPr="00E05BA5" w:rsidRDefault="00E05BA5" w:rsidP="00E05BA5">
      <w:pPr>
        <w:rPr>
          <w:b/>
        </w:rPr>
      </w:pPr>
    </w:p>
    <w:p w:rsidR="00BB2556" w:rsidRPr="00E05BA5" w:rsidRDefault="00BB2556" w:rsidP="00BB2556">
      <w:pPr>
        <w:pStyle w:val="ListParagraph"/>
        <w:numPr>
          <w:ilvl w:val="0"/>
          <w:numId w:val="1"/>
        </w:numPr>
        <w:autoSpaceDE w:val="0"/>
        <w:autoSpaceDN w:val="0"/>
        <w:adjustRightInd w:val="0"/>
        <w:rPr>
          <w:rFonts w:asciiTheme="minorHAnsi" w:hAnsiTheme="minorHAnsi" w:cstheme="minorHAnsi"/>
        </w:rPr>
      </w:pPr>
      <w:r w:rsidRPr="00E05BA5">
        <w:rPr>
          <w:rFonts w:asciiTheme="minorHAnsi" w:hAnsiTheme="minorHAnsi" w:cstheme="minorHAnsi"/>
        </w:rPr>
        <w:t xml:space="preserve">On receipt of a 2ww referral, providers should decide the most appropriate action. This </w:t>
      </w:r>
      <w:r w:rsidR="00E05BA5">
        <w:rPr>
          <w:rFonts w:asciiTheme="minorHAnsi" w:hAnsiTheme="minorHAnsi" w:cstheme="minorHAnsi"/>
        </w:rPr>
        <w:t xml:space="preserve">will include triage of the referral to decide most appropriate management.  </w:t>
      </w:r>
      <w:r w:rsidR="00E05BA5">
        <w:rPr>
          <w:rFonts w:asciiTheme="minorHAnsi" w:hAnsiTheme="minorHAnsi" w:cstheme="minorHAnsi"/>
        </w:rPr>
        <w:br/>
      </w:r>
    </w:p>
    <w:p w:rsidR="00BB2556" w:rsidRPr="00E05BA5" w:rsidRDefault="00BB2556" w:rsidP="00BB2556">
      <w:pPr>
        <w:pStyle w:val="ListParagraph"/>
        <w:numPr>
          <w:ilvl w:val="0"/>
          <w:numId w:val="1"/>
        </w:numPr>
        <w:autoSpaceDE w:val="0"/>
        <w:autoSpaceDN w:val="0"/>
        <w:adjustRightInd w:val="0"/>
        <w:rPr>
          <w:rFonts w:asciiTheme="minorHAnsi" w:hAnsiTheme="minorHAnsi" w:cstheme="minorHAnsi"/>
        </w:rPr>
      </w:pPr>
      <w:r w:rsidRPr="00E05BA5">
        <w:rPr>
          <w:rFonts w:asciiTheme="minorHAnsi" w:hAnsiTheme="minorHAnsi" w:cstheme="minorHAnsi"/>
        </w:rPr>
        <w:t xml:space="preserve">Patients may either be prioritised to be seen (clinic or test), put on a deferral list or </w:t>
      </w:r>
      <w:r w:rsidRPr="00E05BA5">
        <w:t>discharged after a telephone appointment or face-to-face appointment</w:t>
      </w:r>
      <w:r w:rsidR="00E05BA5" w:rsidRPr="00E05BA5">
        <w:rPr>
          <w:rFonts w:asciiTheme="minorHAnsi" w:hAnsiTheme="minorHAnsi" w:cstheme="minorHAnsi"/>
        </w:rPr>
        <w:br/>
      </w:r>
    </w:p>
    <w:p w:rsidR="00BB2556" w:rsidRPr="00E05BA5" w:rsidRDefault="00BB2556" w:rsidP="00BB2556">
      <w:pPr>
        <w:pStyle w:val="ListParagraph"/>
        <w:numPr>
          <w:ilvl w:val="0"/>
          <w:numId w:val="1"/>
        </w:numPr>
        <w:autoSpaceDE w:val="0"/>
        <w:autoSpaceDN w:val="0"/>
        <w:adjustRightInd w:val="0"/>
        <w:rPr>
          <w:rFonts w:asciiTheme="minorHAnsi" w:hAnsiTheme="minorHAnsi" w:cstheme="minorHAnsi"/>
        </w:rPr>
      </w:pPr>
      <w:r w:rsidRPr="00E05BA5">
        <w:rPr>
          <w:rFonts w:asciiTheme="minorHAnsi" w:hAnsiTheme="minorHAnsi" w:cstheme="minorHAnsi"/>
        </w:rPr>
        <w:t>Patients may be deferred if</w:t>
      </w:r>
    </w:p>
    <w:p w:rsidR="00BB2556" w:rsidRPr="00E05BA5" w:rsidRDefault="00BB2556" w:rsidP="00BB2556">
      <w:pPr>
        <w:pStyle w:val="ListParagraph"/>
        <w:numPr>
          <w:ilvl w:val="1"/>
          <w:numId w:val="1"/>
        </w:numPr>
        <w:autoSpaceDE w:val="0"/>
        <w:autoSpaceDN w:val="0"/>
        <w:adjustRightInd w:val="0"/>
        <w:rPr>
          <w:rFonts w:asciiTheme="minorHAnsi" w:hAnsiTheme="minorHAnsi" w:cstheme="minorHAnsi"/>
        </w:rPr>
      </w:pPr>
      <w:r w:rsidRPr="00E05BA5">
        <w:rPr>
          <w:rFonts w:asciiTheme="minorHAnsi" w:hAnsiTheme="minorHAnsi" w:cstheme="minorHAnsi"/>
        </w:rPr>
        <w:t>They are assessed as lower risk and the infection risk of attending a hospital outweighs the benefit</w:t>
      </w:r>
    </w:p>
    <w:p w:rsidR="00BB2556" w:rsidRPr="00E05BA5" w:rsidRDefault="00BB2556" w:rsidP="00BB2556">
      <w:pPr>
        <w:pStyle w:val="ListParagraph"/>
        <w:numPr>
          <w:ilvl w:val="1"/>
          <w:numId w:val="1"/>
        </w:numPr>
        <w:autoSpaceDE w:val="0"/>
        <w:autoSpaceDN w:val="0"/>
        <w:adjustRightInd w:val="0"/>
        <w:rPr>
          <w:rFonts w:asciiTheme="minorHAnsi" w:hAnsiTheme="minorHAnsi" w:cstheme="minorHAnsi"/>
        </w:rPr>
      </w:pPr>
      <w:r w:rsidRPr="00E05BA5">
        <w:rPr>
          <w:rFonts w:asciiTheme="minorHAnsi" w:hAnsiTheme="minorHAnsi" w:cstheme="minorHAnsi"/>
        </w:rPr>
        <w:t xml:space="preserve">The provider is unable of provide the clinic or test at this time but patients must have a harm review completed using local harm review documentation if this option is </w:t>
      </w:r>
      <w:r w:rsidR="00B8383A">
        <w:rPr>
          <w:rFonts w:asciiTheme="minorHAnsi" w:hAnsiTheme="minorHAnsi" w:cstheme="minorHAnsi"/>
        </w:rPr>
        <w:t>chosen</w:t>
      </w:r>
      <w:bookmarkStart w:id="0" w:name="_GoBack"/>
      <w:bookmarkEnd w:id="0"/>
    </w:p>
    <w:p w:rsidR="00BB2556" w:rsidRPr="00E05BA5" w:rsidRDefault="00BB2556" w:rsidP="00BB2556">
      <w:pPr>
        <w:pStyle w:val="ListParagraph"/>
        <w:numPr>
          <w:ilvl w:val="1"/>
          <w:numId w:val="1"/>
        </w:numPr>
        <w:autoSpaceDE w:val="0"/>
        <w:autoSpaceDN w:val="0"/>
        <w:adjustRightInd w:val="0"/>
        <w:rPr>
          <w:rFonts w:asciiTheme="minorHAnsi" w:hAnsiTheme="minorHAnsi" w:cstheme="minorHAnsi"/>
        </w:rPr>
      </w:pPr>
      <w:r w:rsidRPr="00E05BA5">
        <w:rPr>
          <w:rFonts w:asciiTheme="minorHAnsi" w:hAnsiTheme="minorHAnsi" w:cstheme="minorHAnsi"/>
        </w:rPr>
        <w:t>If the provider has not been able to assess the referral at all, this should be communicated back to the referrer and options for assessment discussed</w:t>
      </w:r>
      <w:r w:rsidR="00E05BA5" w:rsidRPr="00E05BA5">
        <w:rPr>
          <w:rFonts w:asciiTheme="minorHAnsi" w:hAnsiTheme="minorHAnsi" w:cstheme="minorHAnsi"/>
        </w:rPr>
        <w:br/>
      </w:r>
    </w:p>
    <w:p w:rsidR="00BB2556" w:rsidRPr="00E05BA5" w:rsidRDefault="00BB2556" w:rsidP="00BB2556">
      <w:pPr>
        <w:pStyle w:val="ListParagraph"/>
        <w:numPr>
          <w:ilvl w:val="0"/>
          <w:numId w:val="1"/>
        </w:numPr>
        <w:autoSpaceDE w:val="0"/>
        <w:autoSpaceDN w:val="0"/>
        <w:adjustRightInd w:val="0"/>
        <w:rPr>
          <w:rFonts w:asciiTheme="minorHAnsi" w:hAnsiTheme="minorHAnsi" w:cstheme="minorHAnsi"/>
        </w:rPr>
      </w:pPr>
      <w:r w:rsidRPr="00E05BA5">
        <w:rPr>
          <w:rFonts w:asciiTheme="minorHAnsi" w:hAnsiTheme="minorHAnsi" w:cstheme="minorHAnsi"/>
        </w:rPr>
        <w:t xml:space="preserve">Where patients have been assessed by telephone or face-to-face appointment and either found to not be requiring investigations or to be managed on routine pathway only, this will be communicated to GPs and patient and removed from the cancer pathway, as in line with current process.  </w:t>
      </w:r>
      <w:r w:rsidRPr="00E05BA5">
        <w:t>Telephone appointments can now be counted as ‘first seen appointment.’</w:t>
      </w:r>
      <w:r w:rsidR="00E05BA5" w:rsidRPr="00E05BA5">
        <w:br/>
      </w:r>
    </w:p>
    <w:p w:rsidR="00BB2556" w:rsidRPr="00E05BA5" w:rsidRDefault="00BB2556" w:rsidP="00BB2556">
      <w:pPr>
        <w:pStyle w:val="ListParagraph"/>
        <w:numPr>
          <w:ilvl w:val="0"/>
          <w:numId w:val="1"/>
        </w:numPr>
        <w:autoSpaceDE w:val="0"/>
        <w:autoSpaceDN w:val="0"/>
        <w:adjustRightInd w:val="0"/>
        <w:rPr>
          <w:rFonts w:asciiTheme="minorHAnsi" w:hAnsiTheme="minorHAnsi" w:cstheme="minorHAnsi"/>
        </w:rPr>
      </w:pPr>
      <w:r w:rsidRPr="00E05BA5">
        <w:rPr>
          <w:rFonts w:asciiTheme="minorHAnsi" w:hAnsiTheme="minorHAnsi" w:cstheme="minorHAnsi"/>
        </w:rPr>
        <w:t>Where GP has not performed bloods and patient is unable to attend their GP practice, patients will be asked to attend the drop-in phlebotomy service to prevent delays to investigations.</w:t>
      </w:r>
    </w:p>
    <w:p w:rsidR="00BB2556" w:rsidRPr="00E05BA5" w:rsidRDefault="00BB2556" w:rsidP="00BB2556">
      <w:pPr>
        <w:rPr>
          <w:rFonts w:asciiTheme="minorHAnsi" w:hAnsiTheme="minorHAnsi" w:cstheme="minorHAnsi"/>
        </w:rPr>
      </w:pPr>
    </w:p>
    <w:p w:rsidR="00BB2556" w:rsidRPr="00E05BA5" w:rsidRDefault="00BB2556" w:rsidP="00E05BA5">
      <w:pPr>
        <w:rPr>
          <w:b/>
        </w:rPr>
      </w:pPr>
      <w:r w:rsidRPr="00E05BA5">
        <w:rPr>
          <w:b/>
        </w:rPr>
        <w:t>Management of patients who do not attend</w:t>
      </w:r>
      <w:r w:rsidR="00E05BA5">
        <w:rPr>
          <w:b/>
        </w:rPr>
        <w:br/>
      </w:r>
    </w:p>
    <w:p w:rsidR="00BB2556" w:rsidRPr="00F3256F" w:rsidRDefault="00BB2556" w:rsidP="00BB2556">
      <w:pPr>
        <w:pStyle w:val="ListParagraph"/>
        <w:numPr>
          <w:ilvl w:val="0"/>
          <w:numId w:val="1"/>
        </w:numPr>
        <w:autoSpaceDE w:val="0"/>
        <w:autoSpaceDN w:val="0"/>
        <w:adjustRightInd w:val="0"/>
        <w:rPr>
          <w:rFonts w:asciiTheme="minorHAnsi" w:hAnsiTheme="minorHAnsi" w:cstheme="minorHAnsi"/>
        </w:rPr>
      </w:pPr>
      <w:r w:rsidRPr="00F3256F">
        <w:rPr>
          <w:rFonts w:asciiTheme="minorHAnsi" w:hAnsiTheme="minorHAnsi" w:cstheme="minorHAnsi"/>
        </w:rPr>
        <w:t>If patient is assessed for investigation (remaining on the 62-day pathway as cancer not yet ruled out) but the patient is not willing to attend for investigations or appointments for the f</w:t>
      </w:r>
      <w:r>
        <w:rPr>
          <w:rFonts w:asciiTheme="minorHAnsi" w:hAnsiTheme="minorHAnsi" w:cstheme="minorHAnsi"/>
        </w:rPr>
        <w:t>oreseeable future due to COVID, t</w:t>
      </w:r>
      <w:r w:rsidRPr="00F3256F">
        <w:rPr>
          <w:rFonts w:asciiTheme="minorHAnsi" w:hAnsiTheme="minorHAnsi" w:cstheme="minorHAnsi"/>
        </w:rPr>
        <w:t>he GP will be informed that the patient has opted out of the cancer pathway</w:t>
      </w:r>
      <w:r>
        <w:rPr>
          <w:rFonts w:asciiTheme="minorHAnsi" w:hAnsiTheme="minorHAnsi" w:cstheme="minorHAnsi"/>
        </w:rPr>
        <w:t>. They will be</w:t>
      </w:r>
      <w:r w:rsidRPr="00F3256F">
        <w:rPr>
          <w:rFonts w:asciiTheme="minorHAnsi" w:hAnsiTheme="minorHAnsi" w:cstheme="minorHAnsi"/>
        </w:rPr>
        <w:t xml:space="preserve"> advised to return to their GP </w:t>
      </w:r>
      <w:r>
        <w:rPr>
          <w:rFonts w:asciiTheme="minorHAnsi" w:hAnsiTheme="minorHAnsi" w:cstheme="minorHAnsi"/>
        </w:rPr>
        <w:t>and the GP will be informed.  I</w:t>
      </w:r>
      <w:r w:rsidRPr="00F3256F">
        <w:rPr>
          <w:rFonts w:asciiTheme="minorHAnsi" w:hAnsiTheme="minorHAnsi" w:cstheme="minorHAnsi"/>
        </w:rPr>
        <w:t>f they subsequently wish to attend</w:t>
      </w:r>
      <w:r>
        <w:rPr>
          <w:rFonts w:asciiTheme="minorHAnsi" w:hAnsiTheme="minorHAnsi" w:cstheme="minorHAnsi"/>
        </w:rPr>
        <w:t xml:space="preserve"> or symptoms progress further, t</w:t>
      </w:r>
      <w:r w:rsidRPr="00F3256F">
        <w:rPr>
          <w:rFonts w:asciiTheme="minorHAnsi" w:hAnsiTheme="minorHAnsi" w:cstheme="minorHAnsi"/>
        </w:rPr>
        <w:t xml:space="preserve">he GP will be required to re-refer with up to date information (including bloods </w:t>
      </w:r>
      <w:proofErr w:type="spellStart"/>
      <w:r w:rsidRPr="00F3256F">
        <w:rPr>
          <w:rFonts w:asciiTheme="minorHAnsi" w:hAnsiTheme="minorHAnsi" w:cstheme="minorHAnsi"/>
        </w:rPr>
        <w:t>etc</w:t>
      </w:r>
      <w:proofErr w:type="spellEnd"/>
      <w:r w:rsidRPr="00F3256F">
        <w:rPr>
          <w:rFonts w:asciiTheme="minorHAnsi" w:hAnsiTheme="minorHAnsi" w:cstheme="minorHAnsi"/>
        </w:rPr>
        <w:t>)</w:t>
      </w:r>
      <w:r>
        <w:rPr>
          <w:rFonts w:asciiTheme="minorHAnsi" w:hAnsiTheme="minorHAnsi" w:cstheme="minorHAnsi"/>
        </w:rPr>
        <w:t>.</w:t>
      </w:r>
      <w:r w:rsidR="00E05BA5">
        <w:rPr>
          <w:rFonts w:asciiTheme="minorHAnsi" w:hAnsiTheme="minorHAnsi" w:cstheme="minorHAnsi"/>
        </w:rPr>
        <w:br/>
      </w:r>
    </w:p>
    <w:p w:rsidR="00BB2556" w:rsidRDefault="00BB2556" w:rsidP="00BB2556">
      <w:pPr>
        <w:pStyle w:val="ListParagraph"/>
        <w:numPr>
          <w:ilvl w:val="0"/>
          <w:numId w:val="1"/>
        </w:numPr>
        <w:autoSpaceDE w:val="0"/>
        <w:autoSpaceDN w:val="0"/>
        <w:adjustRightInd w:val="0"/>
        <w:rPr>
          <w:rFonts w:asciiTheme="minorHAnsi" w:hAnsiTheme="minorHAnsi" w:cstheme="minorHAnsi"/>
        </w:rPr>
      </w:pPr>
      <w:r w:rsidRPr="00F3256F">
        <w:rPr>
          <w:rFonts w:asciiTheme="minorHAnsi" w:hAnsiTheme="minorHAnsi" w:cstheme="minorHAnsi"/>
        </w:rPr>
        <w:t>If a patient is unable to attend for investigation for a set period of time due to self-isolation, these remain on the cancer pathway and appointments are booked at the earliest appropriate date.</w:t>
      </w:r>
    </w:p>
    <w:p w:rsidR="00BB2556" w:rsidRPr="000B5608" w:rsidRDefault="00BB2556" w:rsidP="00BB2556">
      <w:pPr>
        <w:rPr>
          <w:rFonts w:asciiTheme="minorHAnsi" w:hAnsiTheme="minorHAnsi" w:cstheme="minorHAnsi"/>
        </w:rPr>
      </w:pPr>
    </w:p>
    <w:p w:rsidR="00BB2556" w:rsidRPr="00E05BA5" w:rsidRDefault="00BB2556" w:rsidP="00E05BA5">
      <w:pPr>
        <w:rPr>
          <w:b/>
        </w:rPr>
      </w:pPr>
      <w:r w:rsidRPr="00E05BA5">
        <w:rPr>
          <w:b/>
        </w:rPr>
        <w:t>Management of deferred patients</w:t>
      </w:r>
      <w:r w:rsidR="00E05BA5">
        <w:rPr>
          <w:b/>
        </w:rPr>
        <w:br/>
      </w:r>
    </w:p>
    <w:p w:rsidR="00BB2556" w:rsidRDefault="00BB2556" w:rsidP="00BB2556">
      <w:pPr>
        <w:pStyle w:val="ListParagraph"/>
        <w:numPr>
          <w:ilvl w:val="0"/>
          <w:numId w:val="1"/>
        </w:numPr>
        <w:autoSpaceDE w:val="0"/>
        <w:autoSpaceDN w:val="0"/>
        <w:adjustRightInd w:val="0"/>
        <w:rPr>
          <w:rFonts w:asciiTheme="minorHAnsi" w:hAnsiTheme="minorHAnsi" w:cstheme="minorHAnsi"/>
        </w:rPr>
      </w:pPr>
      <w:r w:rsidRPr="000B5608">
        <w:rPr>
          <w:rFonts w:asciiTheme="minorHAnsi" w:hAnsiTheme="minorHAnsi" w:cstheme="minorHAnsi"/>
        </w:rPr>
        <w:t xml:space="preserve">Patients who are deferred </w:t>
      </w:r>
      <w:r>
        <w:rPr>
          <w:rFonts w:asciiTheme="minorHAnsi" w:hAnsiTheme="minorHAnsi" w:cstheme="minorHAnsi"/>
        </w:rPr>
        <w:t>either at point of referral or thereafter should be tracked by the receiving provider.  RCHT will be collecting and monitoring this via the Somerset Cancer Registry.</w:t>
      </w:r>
    </w:p>
    <w:p w:rsidR="00BB2556" w:rsidRDefault="00BB2556" w:rsidP="00BB2556">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lastRenderedPageBreak/>
        <w:t>Patients on this list are the collective responsibility of primary and secondary care (deferred patients may not have been physically seen by either).</w:t>
      </w:r>
      <w:r w:rsidR="00E05BA5">
        <w:rPr>
          <w:rFonts w:asciiTheme="minorHAnsi" w:hAnsiTheme="minorHAnsi" w:cstheme="minorHAnsi"/>
        </w:rPr>
        <w:br/>
      </w:r>
    </w:p>
    <w:p w:rsidR="00BB2556" w:rsidRDefault="00BB2556" w:rsidP="00BB2556">
      <w:pPr>
        <w:pStyle w:val="ListParagraph"/>
        <w:numPr>
          <w:ilvl w:val="0"/>
          <w:numId w:val="1"/>
        </w:numPr>
        <w:autoSpaceDE w:val="0"/>
        <w:autoSpaceDN w:val="0"/>
        <w:adjustRightInd w:val="0"/>
        <w:rPr>
          <w:rFonts w:asciiTheme="minorHAnsi" w:hAnsiTheme="minorHAnsi" w:cstheme="minorHAnsi"/>
        </w:rPr>
      </w:pPr>
      <w:r w:rsidRPr="00424EAC">
        <w:rPr>
          <w:rFonts w:asciiTheme="minorHAnsi" w:hAnsiTheme="minorHAnsi" w:cstheme="minorHAnsi"/>
        </w:rPr>
        <w:t>Patients who are deferred will rec</w:t>
      </w:r>
      <w:r>
        <w:rPr>
          <w:rFonts w:asciiTheme="minorHAnsi" w:hAnsiTheme="minorHAnsi" w:cstheme="minorHAnsi"/>
        </w:rPr>
        <w:t>eive a standard letter and advic</w:t>
      </w:r>
      <w:r w:rsidRPr="00424EAC">
        <w:rPr>
          <w:rFonts w:asciiTheme="minorHAnsi" w:hAnsiTheme="minorHAnsi" w:cstheme="minorHAnsi"/>
        </w:rPr>
        <w:t>e to contact their GP i</w:t>
      </w:r>
      <w:r>
        <w:rPr>
          <w:rFonts w:asciiTheme="minorHAnsi" w:hAnsiTheme="minorHAnsi" w:cstheme="minorHAnsi"/>
        </w:rPr>
        <w:t>f</w:t>
      </w:r>
      <w:r w:rsidRPr="00424EAC">
        <w:rPr>
          <w:rFonts w:asciiTheme="minorHAnsi" w:hAnsiTheme="minorHAnsi" w:cstheme="minorHAnsi"/>
        </w:rPr>
        <w:t xml:space="preserve"> their symptoms worsen. </w:t>
      </w:r>
      <w:r>
        <w:rPr>
          <w:rFonts w:asciiTheme="minorHAnsi" w:hAnsiTheme="minorHAnsi" w:cstheme="minorHAnsi"/>
        </w:rPr>
        <w:t xml:space="preserve"> </w:t>
      </w:r>
      <w:r w:rsidRPr="00424EAC">
        <w:rPr>
          <w:rFonts w:asciiTheme="minorHAnsi" w:hAnsiTheme="minorHAnsi" w:cstheme="minorHAnsi"/>
        </w:rPr>
        <w:t>GP to be sent copy of letter</w:t>
      </w:r>
      <w:r>
        <w:rPr>
          <w:rFonts w:asciiTheme="minorHAnsi" w:hAnsiTheme="minorHAnsi" w:cstheme="minorHAnsi"/>
        </w:rPr>
        <w:t xml:space="preserve"> and if a patient re-presents before the provider is able to see them, the GP can flag to the provider to escalate review.</w:t>
      </w:r>
      <w:r w:rsidR="00E05BA5">
        <w:rPr>
          <w:rFonts w:asciiTheme="minorHAnsi" w:hAnsiTheme="minorHAnsi" w:cstheme="minorHAnsi"/>
        </w:rPr>
        <w:br/>
      </w:r>
    </w:p>
    <w:p w:rsidR="00BB2556" w:rsidRDefault="00BB2556" w:rsidP="00BB2556">
      <w:pPr>
        <w:pStyle w:val="ListParagraph"/>
        <w:numPr>
          <w:ilvl w:val="0"/>
          <w:numId w:val="1"/>
        </w:numPr>
        <w:autoSpaceDE w:val="0"/>
        <w:autoSpaceDN w:val="0"/>
        <w:adjustRightInd w:val="0"/>
        <w:rPr>
          <w:rFonts w:asciiTheme="minorHAnsi" w:hAnsiTheme="minorHAnsi" w:cstheme="minorHAnsi"/>
        </w:rPr>
      </w:pPr>
      <w:r w:rsidRPr="00424EAC">
        <w:rPr>
          <w:rFonts w:asciiTheme="minorHAnsi" w:hAnsiTheme="minorHAnsi" w:cstheme="minorHAnsi"/>
        </w:rPr>
        <w:t>When services can resume normal care deferred patients will be reviewed and prioritised. This will be a joint task between the provider and patients</w:t>
      </w:r>
      <w:r>
        <w:rPr>
          <w:rFonts w:asciiTheme="minorHAnsi" w:hAnsiTheme="minorHAnsi" w:cstheme="minorHAnsi"/>
        </w:rPr>
        <w:t>’</w:t>
      </w:r>
      <w:r w:rsidRPr="00424EAC">
        <w:rPr>
          <w:rFonts w:asciiTheme="minorHAnsi" w:hAnsiTheme="minorHAnsi" w:cstheme="minorHAnsi"/>
        </w:rPr>
        <w:t xml:space="preserve"> GP</w:t>
      </w:r>
      <w:r>
        <w:rPr>
          <w:rFonts w:asciiTheme="minorHAnsi" w:hAnsiTheme="minorHAnsi" w:cstheme="minorHAnsi"/>
        </w:rPr>
        <w:t>s</w:t>
      </w:r>
      <w:r w:rsidRPr="00424EAC">
        <w:rPr>
          <w:rFonts w:asciiTheme="minorHAnsi" w:hAnsiTheme="minorHAnsi" w:cstheme="minorHAnsi"/>
        </w:rPr>
        <w:t>. The exact process is to be determined and may very between tumour sites.</w:t>
      </w:r>
    </w:p>
    <w:p w:rsidR="000A7800" w:rsidRDefault="00680271"/>
    <w:p w:rsidR="00E05BA5" w:rsidRPr="00E05BA5" w:rsidRDefault="00E05BA5">
      <w:pPr>
        <w:rPr>
          <w:b/>
        </w:rPr>
      </w:pPr>
      <w:r w:rsidRPr="00E05BA5">
        <w:rPr>
          <w:b/>
        </w:rPr>
        <w:t xml:space="preserve">Dr B </w:t>
      </w:r>
      <w:proofErr w:type="spellStart"/>
      <w:r w:rsidRPr="00E05BA5">
        <w:rPr>
          <w:b/>
        </w:rPr>
        <w:t>Pottinger</w:t>
      </w:r>
      <w:proofErr w:type="spellEnd"/>
      <w:r w:rsidRPr="00E05BA5">
        <w:rPr>
          <w:b/>
        </w:rPr>
        <w:t xml:space="preserve"> / L Hunt – based on Alliance guidance</w:t>
      </w:r>
    </w:p>
    <w:p w:rsidR="00E05BA5" w:rsidRDefault="00E05BA5">
      <w:pPr>
        <w:rPr>
          <w:b/>
        </w:rPr>
      </w:pPr>
      <w:r w:rsidRPr="00E05BA5">
        <w:rPr>
          <w:b/>
        </w:rPr>
        <w:t>26/03/20</w:t>
      </w:r>
    </w:p>
    <w:p w:rsidR="00481DD7" w:rsidRPr="00E05BA5" w:rsidRDefault="00481DD7">
      <w:pPr>
        <w:rPr>
          <w:b/>
        </w:rPr>
      </w:pPr>
    </w:p>
    <w:sectPr w:rsidR="00481DD7" w:rsidRPr="00E05B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71" w:rsidRDefault="00680271" w:rsidP="00B8383A">
      <w:r>
        <w:separator/>
      </w:r>
    </w:p>
  </w:endnote>
  <w:endnote w:type="continuationSeparator" w:id="0">
    <w:p w:rsidR="00680271" w:rsidRDefault="00680271" w:rsidP="00B8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A" w:rsidRDefault="00B83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A" w:rsidRDefault="00B83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A" w:rsidRDefault="00B8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71" w:rsidRDefault="00680271" w:rsidP="00B8383A">
      <w:r>
        <w:separator/>
      </w:r>
    </w:p>
  </w:footnote>
  <w:footnote w:type="continuationSeparator" w:id="0">
    <w:p w:rsidR="00680271" w:rsidRDefault="00680271" w:rsidP="00B8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A" w:rsidRDefault="00B83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10333"/>
      <w:docPartObj>
        <w:docPartGallery w:val="Watermarks"/>
        <w:docPartUnique/>
      </w:docPartObj>
    </w:sdtPr>
    <w:sdtContent>
      <w:p w:rsidR="00B8383A" w:rsidRDefault="00B8383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3A" w:rsidRDefault="00B83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6EDB"/>
    <w:multiLevelType w:val="hybridMultilevel"/>
    <w:tmpl w:val="F3244166"/>
    <w:lvl w:ilvl="0" w:tplc="41A6CD64">
      <w:start w:val="1"/>
      <w:numFmt w:val="decimal"/>
      <w:pStyle w:val="Heading1"/>
      <w:lvlText w:val="%1."/>
      <w:lvlJc w:val="left"/>
      <w:pPr>
        <w:ind w:left="580" w:hanging="360"/>
      </w:pPr>
      <w:rPr>
        <w:rFonts w:hint="default"/>
      </w:r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
    <w:nsid w:val="597F1805"/>
    <w:multiLevelType w:val="hybridMultilevel"/>
    <w:tmpl w:val="0896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56"/>
    <w:rsid w:val="003C7F18"/>
    <w:rsid w:val="00431A10"/>
    <w:rsid w:val="00481DD7"/>
    <w:rsid w:val="00680271"/>
    <w:rsid w:val="00B8383A"/>
    <w:rsid w:val="00BB2556"/>
    <w:rsid w:val="00D84D23"/>
    <w:rsid w:val="00E0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56"/>
    <w:pPr>
      <w:spacing w:after="0" w:line="240" w:lineRule="auto"/>
    </w:pPr>
    <w:rPr>
      <w:rFonts w:ascii="Calibri" w:hAnsi="Calibri" w:cs="Calibri"/>
    </w:rPr>
  </w:style>
  <w:style w:type="paragraph" w:styleId="Heading1">
    <w:name w:val="heading 1"/>
    <w:basedOn w:val="Normal"/>
    <w:next w:val="Normal"/>
    <w:link w:val="Heading1Char"/>
    <w:uiPriority w:val="9"/>
    <w:qFormat/>
    <w:rsid w:val="00BB2556"/>
    <w:pPr>
      <w:widowControl w:val="0"/>
      <w:numPr>
        <w:numId w:val="2"/>
      </w:numPr>
      <w:autoSpaceDE w:val="0"/>
      <w:autoSpaceDN w:val="0"/>
      <w:spacing w:before="77"/>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5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5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2556"/>
    <w:rPr>
      <w:rFonts w:asciiTheme="majorHAnsi" w:eastAsiaTheme="majorEastAsia" w:hAnsiTheme="majorHAnsi" w:cstheme="majorBidi"/>
      <w:color w:val="365F91" w:themeColor="accent1" w:themeShade="BF"/>
      <w:sz w:val="26"/>
      <w:szCs w:val="26"/>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lev2 list"/>
    <w:basedOn w:val="Normal"/>
    <w:link w:val="ListParagraphChar"/>
    <w:uiPriority w:val="34"/>
    <w:qFormat/>
    <w:rsid w:val="00BB2556"/>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qFormat/>
    <w:rsid w:val="00BB2556"/>
    <w:rPr>
      <w:rFonts w:ascii="Calibri" w:hAnsi="Calibri" w:cs="Calibri"/>
    </w:rPr>
  </w:style>
  <w:style w:type="paragraph" w:styleId="Header">
    <w:name w:val="header"/>
    <w:basedOn w:val="Normal"/>
    <w:link w:val="HeaderChar"/>
    <w:uiPriority w:val="99"/>
    <w:unhideWhenUsed/>
    <w:rsid w:val="00B8383A"/>
    <w:pPr>
      <w:tabs>
        <w:tab w:val="center" w:pos="4513"/>
        <w:tab w:val="right" w:pos="9026"/>
      </w:tabs>
    </w:pPr>
  </w:style>
  <w:style w:type="character" w:customStyle="1" w:styleId="HeaderChar">
    <w:name w:val="Header Char"/>
    <w:basedOn w:val="DefaultParagraphFont"/>
    <w:link w:val="Header"/>
    <w:uiPriority w:val="99"/>
    <w:rsid w:val="00B8383A"/>
    <w:rPr>
      <w:rFonts w:ascii="Calibri" w:hAnsi="Calibri" w:cs="Calibri"/>
    </w:rPr>
  </w:style>
  <w:style w:type="paragraph" w:styleId="Footer">
    <w:name w:val="footer"/>
    <w:basedOn w:val="Normal"/>
    <w:link w:val="FooterChar"/>
    <w:uiPriority w:val="99"/>
    <w:unhideWhenUsed/>
    <w:rsid w:val="00B8383A"/>
    <w:pPr>
      <w:tabs>
        <w:tab w:val="center" w:pos="4513"/>
        <w:tab w:val="right" w:pos="9026"/>
      </w:tabs>
    </w:pPr>
  </w:style>
  <w:style w:type="character" w:customStyle="1" w:styleId="FooterChar">
    <w:name w:val="Footer Char"/>
    <w:basedOn w:val="DefaultParagraphFont"/>
    <w:link w:val="Footer"/>
    <w:uiPriority w:val="99"/>
    <w:rsid w:val="00B8383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56"/>
    <w:pPr>
      <w:spacing w:after="0" w:line="240" w:lineRule="auto"/>
    </w:pPr>
    <w:rPr>
      <w:rFonts w:ascii="Calibri" w:hAnsi="Calibri" w:cs="Calibri"/>
    </w:rPr>
  </w:style>
  <w:style w:type="paragraph" w:styleId="Heading1">
    <w:name w:val="heading 1"/>
    <w:basedOn w:val="Normal"/>
    <w:next w:val="Normal"/>
    <w:link w:val="Heading1Char"/>
    <w:uiPriority w:val="9"/>
    <w:qFormat/>
    <w:rsid w:val="00BB2556"/>
    <w:pPr>
      <w:widowControl w:val="0"/>
      <w:numPr>
        <w:numId w:val="2"/>
      </w:numPr>
      <w:autoSpaceDE w:val="0"/>
      <w:autoSpaceDN w:val="0"/>
      <w:spacing w:before="77"/>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5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5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2556"/>
    <w:rPr>
      <w:rFonts w:asciiTheme="majorHAnsi" w:eastAsiaTheme="majorEastAsia" w:hAnsiTheme="majorHAnsi" w:cstheme="majorBidi"/>
      <w:color w:val="365F91" w:themeColor="accent1" w:themeShade="BF"/>
      <w:sz w:val="26"/>
      <w:szCs w:val="26"/>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lev2 list"/>
    <w:basedOn w:val="Normal"/>
    <w:link w:val="ListParagraphChar"/>
    <w:uiPriority w:val="34"/>
    <w:qFormat/>
    <w:rsid w:val="00BB2556"/>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qFormat/>
    <w:rsid w:val="00BB2556"/>
    <w:rPr>
      <w:rFonts w:ascii="Calibri" w:hAnsi="Calibri" w:cs="Calibri"/>
    </w:rPr>
  </w:style>
  <w:style w:type="paragraph" w:styleId="Header">
    <w:name w:val="header"/>
    <w:basedOn w:val="Normal"/>
    <w:link w:val="HeaderChar"/>
    <w:uiPriority w:val="99"/>
    <w:unhideWhenUsed/>
    <w:rsid w:val="00B8383A"/>
    <w:pPr>
      <w:tabs>
        <w:tab w:val="center" w:pos="4513"/>
        <w:tab w:val="right" w:pos="9026"/>
      </w:tabs>
    </w:pPr>
  </w:style>
  <w:style w:type="character" w:customStyle="1" w:styleId="HeaderChar">
    <w:name w:val="Header Char"/>
    <w:basedOn w:val="DefaultParagraphFont"/>
    <w:link w:val="Header"/>
    <w:uiPriority w:val="99"/>
    <w:rsid w:val="00B8383A"/>
    <w:rPr>
      <w:rFonts w:ascii="Calibri" w:hAnsi="Calibri" w:cs="Calibri"/>
    </w:rPr>
  </w:style>
  <w:style w:type="paragraph" w:styleId="Footer">
    <w:name w:val="footer"/>
    <w:basedOn w:val="Normal"/>
    <w:link w:val="FooterChar"/>
    <w:uiPriority w:val="99"/>
    <w:unhideWhenUsed/>
    <w:rsid w:val="00B8383A"/>
    <w:pPr>
      <w:tabs>
        <w:tab w:val="center" w:pos="4513"/>
        <w:tab w:val="right" w:pos="9026"/>
      </w:tabs>
    </w:pPr>
  </w:style>
  <w:style w:type="character" w:customStyle="1" w:styleId="FooterChar">
    <w:name w:val="Footer Char"/>
    <w:basedOn w:val="DefaultParagraphFont"/>
    <w:link w:val="Footer"/>
    <w:uiPriority w:val="99"/>
    <w:rsid w:val="00B838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B0BA7-A8CE-4117-9E4E-EADDE9E4F27E}"/>
</file>

<file path=customXml/itemProps2.xml><?xml version="1.0" encoding="utf-8"?>
<ds:datastoreItem xmlns:ds="http://schemas.openxmlformats.org/officeDocument/2006/customXml" ds:itemID="{BA27E9EA-CAD0-43A9-BCA1-05FDD247D3CC}"/>
</file>

<file path=customXml/itemProps3.xml><?xml version="1.0" encoding="utf-8"?>
<ds:datastoreItem xmlns:ds="http://schemas.openxmlformats.org/officeDocument/2006/customXml" ds:itemID="{E1566445-8D5D-438A-8FA8-9EBFA2360C18}"/>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Hunt</dc:creator>
  <cp:lastModifiedBy>Janine Glazier</cp:lastModifiedBy>
  <cp:revision>2</cp:revision>
  <dcterms:created xsi:type="dcterms:W3CDTF">2020-04-01T10:16:00Z</dcterms:created>
  <dcterms:modified xsi:type="dcterms:W3CDTF">2020-04-01T10:16:00Z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